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0331F21" w14:textId="77777777" w:rsidR="00B81C49" w:rsidRPr="00B81C49" w:rsidRDefault="00B81C49" w:rsidP="00B81C49">
      <w:pPr>
        <w:ind w:left="360"/>
        <w:jc w:val="center"/>
        <w:rPr>
          <w:rFonts w:cs="B Titr"/>
          <w:b/>
          <w:bCs/>
          <w:sz w:val="36"/>
          <w:szCs w:val="36"/>
          <w:rtl/>
          <w:lang w:bidi="fa-IR"/>
        </w:rPr>
      </w:pPr>
      <w:bookmarkStart w:id="0" w:name="_Toc360644221"/>
      <w:r w:rsidRPr="00B81C49">
        <w:rPr>
          <w:rFonts w:cs="B Titr" w:hint="cs"/>
          <w:b/>
          <w:bCs/>
          <w:sz w:val="36"/>
          <w:szCs w:val="36"/>
          <w:rtl/>
          <w:lang w:bidi="fa-IR"/>
        </w:rPr>
        <w:t>تقلید ابتدایی از میت</w:t>
      </w:r>
    </w:p>
    <w:bookmarkEnd w:id="0"/>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2712E2E0" w14:textId="0136669C" w:rsidR="00B81C49" w:rsidRPr="008D42F8" w:rsidRDefault="00B81C49" w:rsidP="00B81C49">
      <w:pPr>
        <w:jc w:val="both"/>
        <w:rPr>
          <w:rFonts w:cs="Abz-1 (Lotus)"/>
          <w:sz w:val="32"/>
          <w:szCs w:val="32"/>
          <w:rtl/>
        </w:rPr>
      </w:pPr>
      <w:r w:rsidRPr="00307D1F">
        <w:rPr>
          <w:rFonts w:ascii="Mosawi" w:hAnsi="Mosawi"/>
          <w:bCs/>
          <w:sz w:val="24"/>
          <w:szCs w:val="24"/>
        </w:rPr>
        <w:sym w:font="Wingdings 3" w:char="F0E7"/>
      </w:r>
      <w:r w:rsidRPr="00307D1F">
        <w:rPr>
          <w:rFonts w:ascii="Mosawi" w:hAnsi="Mosawi"/>
          <w:bCs/>
          <w:sz w:val="24"/>
          <w:szCs w:val="24"/>
          <w:rtl/>
        </w:rPr>
        <w:t xml:space="preserve"> </w:t>
      </w:r>
      <w:r w:rsidRPr="000B6272">
        <w:rPr>
          <w:rFonts w:ascii="Mosawi" w:hAnsi="Mosawi" w:hint="cs"/>
          <w:bCs/>
          <w:rtl/>
        </w:rPr>
        <w:t>سؤال</w:t>
      </w:r>
      <w:r>
        <w:rPr>
          <w:rStyle w:val="FootnoteReference"/>
          <w:rFonts w:ascii="Mosawi" w:hAnsi="Mosawi"/>
          <w:bCs/>
          <w:rtl/>
        </w:rPr>
        <w:footnoteReference w:id="1"/>
      </w:r>
      <w:r w:rsidRPr="000B6272">
        <w:rPr>
          <w:rFonts w:ascii="Mosawi" w:hAnsi="Mosawi" w:hint="cs"/>
          <w:bCs/>
          <w:rtl/>
        </w:rPr>
        <w:t xml:space="preserve">: اگر </w:t>
      </w:r>
      <w:r>
        <w:rPr>
          <w:rFonts w:ascii="Mosawi" w:hAnsi="Mosawi" w:hint="cs"/>
          <w:bCs/>
          <w:rtl/>
        </w:rPr>
        <w:t xml:space="preserve">حجت دلیل، </w:t>
      </w:r>
      <w:r w:rsidRPr="000B6272">
        <w:rPr>
          <w:rFonts w:ascii="Mosawi" w:hAnsi="Mosawi"/>
          <w:bCs/>
          <w:rtl/>
        </w:rPr>
        <w:t xml:space="preserve">برهان </w:t>
      </w:r>
      <w:r w:rsidRPr="000B6272">
        <w:rPr>
          <w:rFonts w:ascii="Mosawi" w:hAnsi="Mosawi" w:hint="cs"/>
          <w:bCs/>
          <w:rtl/>
        </w:rPr>
        <w:t>اس</w:t>
      </w:r>
      <w:bookmarkStart w:id="1" w:name="_GoBack"/>
      <w:bookmarkEnd w:id="1"/>
      <w:r w:rsidRPr="000B6272">
        <w:rPr>
          <w:rFonts w:ascii="Mosawi" w:hAnsi="Mosawi" w:hint="cs"/>
          <w:bCs/>
          <w:rtl/>
        </w:rPr>
        <w:t xml:space="preserve">ت نه </w:t>
      </w:r>
      <w:r w:rsidRPr="000B6272">
        <w:rPr>
          <w:rFonts w:ascii="Mosawi" w:hAnsi="Mosawi"/>
          <w:bCs/>
          <w:rtl/>
        </w:rPr>
        <w:t>مؤلف آن</w:t>
      </w:r>
      <w:r w:rsidRPr="000B6272">
        <w:rPr>
          <w:rFonts w:ascii="Mosawi" w:hAnsi="Mosawi" w:hint="cs"/>
          <w:bCs/>
          <w:rtl/>
        </w:rPr>
        <w:t xml:space="preserve">، </w:t>
      </w:r>
      <w:r w:rsidRPr="000B6272">
        <w:rPr>
          <w:rFonts w:ascii="Mosawi" w:hAnsi="Mosawi"/>
          <w:bCs/>
          <w:rtl/>
        </w:rPr>
        <w:t>چرا برخی</w:t>
      </w:r>
      <w:r>
        <w:rPr>
          <w:rFonts w:ascii="Mosawi" w:hAnsi="Mosawi" w:hint="cs"/>
          <w:bCs/>
          <w:rtl/>
        </w:rPr>
        <w:t xml:space="preserve"> تقلید ابتدائی از میت را</w:t>
      </w:r>
      <w:r w:rsidRPr="000B6272">
        <w:rPr>
          <w:rFonts w:ascii="Mosawi" w:hAnsi="Mosawi"/>
          <w:bCs/>
          <w:rtl/>
        </w:rPr>
        <w:t xml:space="preserve"> اجازه نمی دهند، به ویژه </w:t>
      </w:r>
      <w:r w:rsidRPr="000B6272">
        <w:rPr>
          <w:rFonts w:ascii="Mosawi" w:hAnsi="Mosawi" w:hint="cs"/>
          <w:bCs/>
          <w:rtl/>
        </w:rPr>
        <w:t xml:space="preserve">در </w:t>
      </w:r>
      <w:r>
        <w:rPr>
          <w:rFonts w:ascii="Mosawi" w:hAnsi="Mosawi" w:hint="cs"/>
          <w:bCs/>
          <w:rtl/>
        </w:rPr>
        <w:t>غیر از مسائل مستحدثه (مسائل نوپدید)</w:t>
      </w:r>
      <w:r w:rsidRPr="000B6272">
        <w:rPr>
          <w:rFonts w:ascii="Mosawi" w:hAnsi="Mosawi"/>
          <w:bCs/>
          <w:rtl/>
        </w:rPr>
        <w:t>؟</w:t>
      </w:r>
    </w:p>
    <w:p w14:paraId="1A966FDD" w14:textId="77777777" w:rsidR="00B81C49" w:rsidRDefault="00B81C49" w:rsidP="00B81C49">
      <w:pPr>
        <w:jc w:val="both"/>
        <w:rPr>
          <w:rtl/>
        </w:rPr>
      </w:pPr>
      <w:r w:rsidRPr="00B12BDC">
        <w:rPr>
          <w:rFonts w:hint="cs"/>
          <w:b/>
          <w:bCs/>
          <w:rtl/>
        </w:rPr>
        <w:t>پاسخ</w:t>
      </w:r>
      <w:r>
        <w:rPr>
          <w:rFonts w:hint="cs"/>
          <w:rtl/>
        </w:rPr>
        <w:t xml:space="preserve">: </w:t>
      </w:r>
      <w:r w:rsidRPr="000B6272">
        <w:rPr>
          <w:rFonts w:hint="cs"/>
          <w:rtl/>
        </w:rPr>
        <w:t>پاسخ سوال شما بسته به تعریف مفهوم تقلید و مسئله</w:t>
      </w:r>
      <w:r>
        <w:rPr>
          <w:rFonts w:hint="cs"/>
          <w:rtl/>
        </w:rPr>
        <w:t xml:space="preserve"> رجوع</w:t>
      </w:r>
      <w:r w:rsidRPr="000B6272">
        <w:rPr>
          <w:rFonts w:hint="cs"/>
          <w:rtl/>
        </w:rPr>
        <w:t xml:space="preserve"> جاهل به</w:t>
      </w:r>
      <w:r>
        <w:rPr>
          <w:rFonts w:hint="cs"/>
          <w:rtl/>
        </w:rPr>
        <w:t xml:space="preserve"> عالم متفاوت به نظر می رسد</w:t>
      </w:r>
      <w:r w:rsidRPr="000B6272">
        <w:rPr>
          <w:rFonts w:hint="cs"/>
          <w:rtl/>
        </w:rPr>
        <w:t>.</w:t>
      </w:r>
      <w:r>
        <w:rPr>
          <w:rFonts w:hint="cs"/>
          <w:rtl/>
        </w:rPr>
        <w:t xml:space="preserve"> </w:t>
      </w:r>
      <w:r w:rsidRPr="000B6272">
        <w:rPr>
          <w:rFonts w:hint="cs"/>
          <w:rtl/>
        </w:rPr>
        <w:t>نظریه رایج در فقه در مورد تقلید می گوید سیره عقل</w:t>
      </w:r>
      <w:r>
        <w:rPr>
          <w:rFonts w:hint="cs"/>
          <w:rtl/>
        </w:rPr>
        <w:t>ای</w:t>
      </w:r>
      <w:r w:rsidRPr="000B6272">
        <w:rPr>
          <w:rFonts w:hint="cs"/>
          <w:rtl/>
        </w:rPr>
        <w:t>ی و شرع مقدس خواهان</w:t>
      </w:r>
      <w:r>
        <w:rPr>
          <w:rFonts w:hint="cs"/>
          <w:rtl/>
        </w:rPr>
        <w:t xml:space="preserve"> رجوع</w:t>
      </w:r>
      <w:r w:rsidRPr="000B6272">
        <w:rPr>
          <w:rFonts w:hint="cs"/>
          <w:rtl/>
        </w:rPr>
        <w:t xml:space="preserve"> جاهل به</w:t>
      </w:r>
      <w:r>
        <w:rPr>
          <w:rFonts w:hint="cs"/>
          <w:rtl/>
        </w:rPr>
        <w:t xml:space="preserve"> عالم</w:t>
      </w:r>
      <w:r w:rsidRPr="000B6272">
        <w:rPr>
          <w:rFonts w:hint="cs"/>
          <w:rtl/>
        </w:rPr>
        <w:t xml:space="preserve"> است تا جاهل به گفته عالم عمل کند، چه جاهل دلیل</w:t>
      </w:r>
      <w:r>
        <w:rPr>
          <w:rFonts w:hint="cs"/>
          <w:rtl/>
        </w:rPr>
        <w:t xml:space="preserve"> آن</w:t>
      </w:r>
      <w:r w:rsidRPr="000B6272">
        <w:rPr>
          <w:rFonts w:hint="cs"/>
          <w:rtl/>
        </w:rPr>
        <w:t xml:space="preserve"> را بفهمد یا نه و </w:t>
      </w:r>
      <w:r>
        <w:rPr>
          <w:rFonts w:hint="cs"/>
          <w:rtl/>
        </w:rPr>
        <w:t xml:space="preserve">چه به آن </w:t>
      </w:r>
      <w:r w:rsidRPr="000B6272">
        <w:rPr>
          <w:rFonts w:hint="cs"/>
          <w:rtl/>
        </w:rPr>
        <w:t>قانع شده باشد</w:t>
      </w:r>
      <w:r>
        <w:rPr>
          <w:rFonts w:hint="cs"/>
          <w:rtl/>
        </w:rPr>
        <w:t xml:space="preserve"> یا نه،</w:t>
      </w:r>
      <w:r w:rsidRPr="000B6272">
        <w:rPr>
          <w:rFonts w:hint="cs"/>
          <w:rtl/>
        </w:rPr>
        <w:t xml:space="preserve"> درست مثل </w:t>
      </w:r>
      <w:r>
        <w:rPr>
          <w:rFonts w:hint="cs"/>
          <w:rtl/>
        </w:rPr>
        <w:t>رجوع ما به</w:t>
      </w:r>
      <w:r w:rsidRPr="000B6272">
        <w:rPr>
          <w:rFonts w:hint="cs"/>
          <w:rtl/>
        </w:rPr>
        <w:t xml:space="preserve"> طبیب</w:t>
      </w:r>
      <w:r>
        <w:rPr>
          <w:rFonts w:hint="cs"/>
          <w:rtl/>
        </w:rPr>
        <w:t>(پزشک)</w:t>
      </w:r>
      <w:r w:rsidRPr="000B6272">
        <w:rPr>
          <w:rFonts w:hint="cs"/>
          <w:rtl/>
        </w:rPr>
        <w:t>، در این</w:t>
      </w:r>
      <w:r>
        <w:rPr>
          <w:rFonts w:hint="cs"/>
          <w:rtl/>
        </w:rPr>
        <w:t xml:space="preserve"> صورت حجت  تنها </w:t>
      </w:r>
      <w:r w:rsidRPr="000B6272">
        <w:rPr>
          <w:rFonts w:hint="cs"/>
          <w:rtl/>
        </w:rPr>
        <w:t xml:space="preserve">برهان است، اما فقط برای شخص </w:t>
      </w:r>
      <w:r>
        <w:rPr>
          <w:rFonts w:hint="cs"/>
          <w:rtl/>
        </w:rPr>
        <w:t>مجهتد،</w:t>
      </w:r>
      <w:r w:rsidRPr="000B6272">
        <w:rPr>
          <w:rFonts w:hint="cs"/>
          <w:rtl/>
        </w:rPr>
        <w:t xml:space="preserve"> زیرا مقلد بنابر فرض به مرجع</w:t>
      </w:r>
      <w:r>
        <w:rPr>
          <w:rFonts w:hint="cs"/>
          <w:rtl/>
        </w:rPr>
        <w:t xml:space="preserve"> رجوع نمی کند تا </w:t>
      </w:r>
      <w:r w:rsidRPr="000B6272">
        <w:rPr>
          <w:rFonts w:hint="cs"/>
          <w:rtl/>
        </w:rPr>
        <w:t>از او دلیل بگیرد و به گفته</w:t>
      </w:r>
      <w:r>
        <w:rPr>
          <w:rFonts w:hint="cs"/>
          <w:rtl/>
        </w:rPr>
        <w:t xml:space="preserve"> او</w:t>
      </w:r>
      <w:r w:rsidRPr="000B6272">
        <w:rPr>
          <w:rFonts w:hint="cs"/>
          <w:rtl/>
        </w:rPr>
        <w:t xml:space="preserve"> خود یقین پیدا کند، بلکه </w:t>
      </w:r>
      <w:r>
        <w:rPr>
          <w:rFonts w:hint="cs"/>
          <w:rtl/>
        </w:rPr>
        <w:t xml:space="preserve">تنها برای تبعیت از آن به مجتهد رجوع می کند چرا که خود </w:t>
      </w:r>
      <w:r w:rsidRPr="000B6272">
        <w:rPr>
          <w:rFonts w:hint="cs"/>
          <w:rtl/>
        </w:rPr>
        <w:t xml:space="preserve">جاهل </w:t>
      </w:r>
      <w:r>
        <w:rPr>
          <w:rFonts w:hint="cs"/>
          <w:rtl/>
        </w:rPr>
        <w:t xml:space="preserve">به حکم بوده و باید برای تفریغ ذمه خود از احکام شرعی واقعی به سراغ مجتهد برود با توجه به این که خودش مجتهد نبوده و احتیاط نمی کند. </w:t>
      </w:r>
    </w:p>
    <w:p w14:paraId="184E2583" w14:textId="77777777" w:rsidR="00B81C49" w:rsidRDefault="00B81C49" w:rsidP="00B81C49">
      <w:pPr>
        <w:jc w:val="both"/>
        <w:rPr>
          <w:rtl/>
        </w:rPr>
      </w:pPr>
      <w:r w:rsidRPr="000B6272">
        <w:rPr>
          <w:rFonts w:hint="cs"/>
          <w:rtl/>
        </w:rPr>
        <w:t>اما اگر نظريه غير متداول را در نظر بگيريم كه م</w:t>
      </w:r>
      <w:r>
        <w:rPr>
          <w:rFonts w:hint="cs"/>
          <w:rtl/>
        </w:rPr>
        <w:t>ی</w:t>
      </w:r>
      <w:r w:rsidRPr="000B6272">
        <w:rPr>
          <w:rFonts w:hint="cs"/>
          <w:rtl/>
        </w:rPr>
        <w:t xml:space="preserve"> گويد آنچه شرع و عقلا حكم م</w:t>
      </w:r>
      <w:r>
        <w:rPr>
          <w:rFonts w:hint="cs"/>
          <w:rtl/>
        </w:rPr>
        <w:t>ی</w:t>
      </w:r>
      <w:r w:rsidRPr="000B6272">
        <w:rPr>
          <w:rFonts w:hint="cs"/>
          <w:rtl/>
        </w:rPr>
        <w:t xml:space="preserve"> كنند اين است كه جاهل نزد عالم برگردد تا به آنچه م</w:t>
      </w:r>
      <w:r>
        <w:rPr>
          <w:rFonts w:hint="cs"/>
          <w:rtl/>
        </w:rPr>
        <w:t>ی</w:t>
      </w:r>
      <w:r w:rsidRPr="000B6272">
        <w:rPr>
          <w:rFonts w:hint="cs"/>
          <w:rtl/>
        </w:rPr>
        <w:t xml:space="preserve"> گويد اطمينان پيدا كند نه به دليل مطلق پيرو</w:t>
      </w:r>
      <w:r>
        <w:rPr>
          <w:rFonts w:hint="cs"/>
          <w:rtl/>
        </w:rPr>
        <w:t>ی</w:t>
      </w:r>
      <w:r w:rsidRPr="000B6272">
        <w:rPr>
          <w:rFonts w:hint="cs"/>
          <w:rtl/>
        </w:rPr>
        <w:t xml:space="preserve"> از آ</w:t>
      </w:r>
      <w:r>
        <w:rPr>
          <w:rFonts w:hint="cs"/>
          <w:rtl/>
        </w:rPr>
        <w:t>ن، بی آن که اقناعی برای وی حاصل شود</w:t>
      </w:r>
      <w:r w:rsidRPr="000B6272">
        <w:rPr>
          <w:rFonts w:hint="cs"/>
          <w:rtl/>
        </w:rPr>
        <w:t xml:space="preserve">. </w:t>
      </w:r>
      <w:r>
        <w:rPr>
          <w:rFonts w:hint="cs"/>
          <w:rtl/>
        </w:rPr>
        <w:t>در این صورت د</w:t>
      </w:r>
      <w:r w:rsidRPr="000B6272">
        <w:rPr>
          <w:rFonts w:hint="cs"/>
          <w:rtl/>
        </w:rPr>
        <w:t>لیل</w:t>
      </w:r>
      <w:r>
        <w:rPr>
          <w:rFonts w:hint="cs"/>
          <w:rtl/>
        </w:rPr>
        <w:t xml:space="preserve"> و برهان</w:t>
      </w:r>
      <w:r w:rsidRPr="000B6272">
        <w:rPr>
          <w:rFonts w:hint="cs"/>
          <w:rtl/>
        </w:rPr>
        <w:t xml:space="preserve">ی که </w:t>
      </w:r>
      <w:r>
        <w:rPr>
          <w:rFonts w:hint="cs"/>
          <w:rtl/>
        </w:rPr>
        <w:t>این عالم</w:t>
      </w:r>
      <w:r w:rsidRPr="000B6272">
        <w:rPr>
          <w:rFonts w:hint="cs"/>
          <w:rtl/>
        </w:rPr>
        <w:t xml:space="preserve"> در این مورد اقامه می کند، می تواند در</w:t>
      </w:r>
      <w:r>
        <w:rPr>
          <w:rFonts w:hint="cs"/>
          <w:rtl/>
        </w:rPr>
        <w:t xml:space="preserve"> حجیت</w:t>
      </w:r>
      <w:r w:rsidRPr="000B6272">
        <w:rPr>
          <w:rFonts w:hint="cs"/>
          <w:rtl/>
        </w:rPr>
        <w:t xml:space="preserve"> گفته این </w:t>
      </w:r>
      <w:r>
        <w:rPr>
          <w:rFonts w:hint="cs"/>
          <w:rtl/>
        </w:rPr>
        <w:t>عالم</w:t>
      </w:r>
      <w:r w:rsidRPr="000B6272">
        <w:rPr>
          <w:rFonts w:hint="cs"/>
          <w:rtl/>
        </w:rPr>
        <w:t xml:space="preserve"> در </w:t>
      </w:r>
      <w:r>
        <w:rPr>
          <w:rFonts w:hint="cs"/>
          <w:rtl/>
        </w:rPr>
        <w:t>حق شخص جاهل</w:t>
      </w:r>
      <w:r w:rsidRPr="000B6272">
        <w:rPr>
          <w:rFonts w:hint="cs"/>
          <w:rtl/>
        </w:rPr>
        <w:t xml:space="preserve"> مؤثر باشد، </w:t>
      </w:r>
      <w:r>
        <w:rPr>
          <w:rFonts w:hint="cs"/>
          <w:rtl/>
        </w:rPr>
        <w:t xml:space="preserve">به گونه ای که این دلیل بتواند احساست اقناع به حکم شرعی را در نفس جاهل ایجاد کند و </w:t>
      </w:r>
      <w:r>
        <w:rPr>
          <w:rFonts w:hint="cs"/>
          <w:rtl/>
        </w:rPr>
        <w:lastRenderedPageBreak/>
        <w:t xml:space="preserve">چه بسا این اقناع به حکم از طریقی غیر از برهان برای فراد ایجاد شود مثل </w:t>
      </w:r>
      <w:r w:rsidRPr="000B6272">
        <w:rPr>
          <w:rFonts w:hint="cs"/>
          <w:rtl/>
        </w:rPr>
        <w:t>بسیاری از عوام که از موضع اعتماد به خود عالم به حکم قانع می شوند.</w:t>
      </w:r>
    </w:p>
    <w:p w14:paraId="0901DD39" w14:textId="77777777" w:rsidR="00B81C49" w:rsidRDefault="00B81C49" w:rsidP="00B81C49">
      <w:pPr>
        <w:jc w:val="both"/>
        <w:rPr>
          <w:rtl/>
        </w:rPr>
      </w:pPr>
      <w:r w:rsidRPr="000B6272">
        <w:rPr>
          <w:rFonts w:hint="cs"/>
          <w:rtl/>
        </w:rPr>
        <w:t>بنابراین در بین مجتهدان و متخصصان، ملاک برهان و دلیل است، در حالی که در رابطه عالم با سایر</w:t>
      </w:r>
      <w:r>
        <w:rPr>
          <w:rFonts w:hint="cs"/>
          <w:rtl/>
        </w:rPr>
        <w:t xml:space="preserve"> افراد از مقلدین او، نسبت تبعیت</w:t>
      </w:r>
      <w:r w:rsidRPr="000B6272">
        <w:rPr>
          <w:rFonts w:hint="cs"/>
          <w:rtl/>
        </w:rPr>
        <w:t xml:space="preserve"> (بر اساس اعتقاد به </w:t>
      </w:r>
      <w:r>
        <w:rPr>
          <w:rFonts w:hint="cs"/>
          <w:rtl/>
        </w:rPr>
        <w:t xml:space="preserve">اصل </w:t>
      </w:r>
      <w:r w:rsidRPr="000B6272">
        <w:rPr>
          <w:rFonts w:hint="cs"/>
          <w:rtl/>
        </w:rPr>
        <w:t>مبدأ اقتدا</w:t>
      </w:r>
      <w:r>
        <w:rPr>
          <w:rFonts w:hint="cs"/>
          <w:rtl/>
        </w:rPr>
        <w:t xml:space="preserve"> و تبعیت</w:t>
      </w:r>
      <w:r w:rsidRPr="000B6272">
        <w:rPr>
          <w:rFonts w:hint="cs"/>
          <w:rtl/>
        </w:rPr>
        <w:t>) بر اساس برداشت</w:t>
      </w:r>
      <w:r>
        <w:rPr>
          <w:rFonts w:hint="cs"/>
          <w:rtl/>
        </w:rPr>
        <w:t xml:space="preserve"> و فهم رایج از مفهوم تقلید است و نسبت و رابطه قانع شدن بر اساس فهم غیر متداول از نظریه تقلید است. </w:t>
      </w:r>
    </w:p>
    <w:p w14:paraId="279083E3" w14:textId="77777777" w:rsidR="00B81C49" w:rsidRDefault="00B81C49" w:rsidP="00B81C49">
      <w:pPr>
        <w:jc w:val="both"/>
        <w:rPr>
          <w:rtl/>
        </w:rPr>
      </w:pPr>
      <w:r w:rsidRPr="000B6272">
        <w:rPr>
          <w:rFonts w:hint="cs"/>
          <w:rtl/>
        </w:rPr>
        <w:t xml:space="preserve">بر این اساس، علما می گویند که ادله بر </w:t>
      </w:r>
      <w:r>
        <w:rPr>
          <w:rFonts w:hint="cs"/>
          <w:rtl/>
        </w:rPr>
        <w:t>اشتراط حیات</w:t>
      </w:r>
      <w:r w:rsidRPr="000B6272">
        <w:rPr>
          <w:rFonts w:hint="cs"/>
          <w:rtl/>
        </w:rPr>
        <w:t xml:space="preserve"> در مرجع تقلید دلالت می کند </w:t>
      </w:r>
      <w:r>
        <w:rPr>
          <w:rFonts w:hint="cs"/>
          <w:rtl/>
        </w:rPr>
        <w:t xml:space="preserve">و در این صورت، برهان در این جا از </w:t>
      </w:r>
      <w:r w:rsidRPr="000B6272">
        <w:rPr>
          <w:rFonts w:hint="cs"/>
          <w:rtl/>
        </w:rPr>
        <w:t>جانب</w:t>
      </w:r>
      <w:r>
        <w:rPr>
          <w:rFonts w:hint="cs"/>
          <w:rtl/>
        </w:rPr>
        <w:t xml:space="preserve"> فرد</w:t>
      </w:r>
      <w:r w:rsidRPr="000B6272">
        <w:rPr>
          <w:rFonts w:hint="cs"/>
          <w:rtl/>
        </w:rPr>
        <w:t xml:space="preserve"> عامی که از مرجع تقلید می کند، ارزشی ندارد; زیرا ملاک برای او یقین</w:t>
      </w:r>
      <w:r>
        <w:rPr>
          <w:rFonts w:hint="cs"/>
          <w:rtl/>
        </w:rPr>
        <w:t xml:space="preserve"> و اقناع</w:t>
      </w:r>
      <w:r w:rsidRPr="000B6272">
        <w:rPr>
          <w:rFonts w:hint="cs"/>
          <w:rtl/>
        </w:rPr>
        <w:t xml:space="preserve"> به </w:t>
      </w:r>
      <w:r>
        <w:rPr>
          <w:rFonts w:hint="cs"/>
          <w:rtl/>
        </w:rPr>
        <w:t xml:space="preserve">اصل </w:t>
      </w:r>
      <w:r w:rsidRPr="000B6272">
        <w:rPr>
          <w:rFonts w:hint="cs"/>
          <w:rtl/>
        </w:rPr>
        <w:t xml:space="preserve">مبدأ تقلید است، نه آنچه از این مبدأ ساخته یا منشعب شده است، اما اگر نظریه غیر غالب را بگوییم، ممکن است گفته شود که لازم است </w:t>
      </w:r>
      <w:r>
        <w:rPr>
          <w:rFonts w:hint="cs"/>
          <w:rtl/>
        </w:rPr>
        <w:t xml:space="preserve">که فرد عامی به وجوب تقلید از شخص زنده از مجتهدین قانع شود </w:t>
      </w:r>
      <w:r w:rsidRPr="000B6272">
        <w:rPr>
          <w:rFonts w:hint="cs"/>
          <w:rtl/>
        </w:rPr>
        <w:t>اگر قانع نشد، می تواند</w:t>
      </w:r>
      <w:r>
        <w:rPr>
          <w:rFonts w:hint="cs"/>
          <w:rtl/>
        </w:rPr>
        <w:t xml:space="preserve"> به</w:t>
      </w:r>
      <w:r w:rsidRPr="000B6272">
        <w:rPr>
          <w:rFonts w:hint="cs"/>
          <w:rtl/>
        </w:rPr>
        <w:t xml:space="preserve"> قول میت</w:t>
      </w:r>
      <w:r>
        <w:rPr>
          <w:rFonts w:hint="cs"/>
          <w:rtl/>
        </w:rPr>
        <w:t>ی</w:t>
      </w:r>
      <w:r w:rsidRPr="000B6272">
        <w:rPr>
          <w:rFonts w:hint="cs"/>
          <w:rtl/>
        </w:rPr>
        <w:t xml:space="preserve"> را که تقلید از میت</w:t>
      </w:r>
      <w:r>
        <w:rPr>
          <w:rFonts w:hint="cs"/>
          <w:rtl/>
        </w:rPr>
        <w:t xml:space="preserve"> جایز</w:t>
      </w:r>
      <w:r w:rsidRPr="000B6272">
        <w:rPr>
          <w:rFonts w:hint="cs"/>
          <w:rtl/>
        </w:rPr>
        <w:t xml:space="preserve"> می بیند،</w:t>
      </w:r>
      <w:r>
        <w:rPr>
          <w:rFonts w:hint="cs"/>
          <w:rtl/>
        </w:rPr>
        <w:t xml:space="preserve"> و این شخص کالام وی را قانع کننده می بیند عمل کند. </w:t>
      </w:r>
    </w:p>
    <w:p w14:paraId="6E206D6F" w14:textId="77777777" w:rsidR="00B81C49" w:rsidRDefault="00B81C49" w:rsidP="00B81C49">
      <w:pPr>
        <w:jc w:val="both"/>
        <w:rPr>
          <w:rtl/>
        </w:rPr>
      </w:pPr>
    </w:p>
    <w:p w14:paraId="0722EC49" w14:textId="6D133096" w:rsidR="00F16515" w:rsidRDefault="00F16515" w:rsidP="00B81C49">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0A5B3" w14:textId="77777777" w:rsidR="00C866AC" w:rsidRDefault="00C866AC" w:rsidP="00C24BE0">
      <w:pPr>
        <w:spacing w:after="0"/>
      </w:pPr>
      <w:r>
        <w:separator/>
      </w:r>
    </w:p>
  </w:endnote>
  <w:endnote w:type="continuationSeparator" w:id="0">
    <w:p w14:paraId="555A9DD3" w14:textId="77777777" w:rsidR="00C866AC" w:rsidRDefault="00C866AC"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66687" w14:textId="77777777" w:rsidR="00C866AC" w:rsidRDefault="00C866AC" w:rsidP="00C24BE0">
      <w:pPr>
        <w:spacing w:after="0"/>
      </w:pPr>
      <w:r>
        <w:separator/>
      </w:r>
    </w:p>
  </w:footnote>
  <w:footnote w:type="continuationSeparator" w:id="0">
    <w:p w14:paraId="7EFD1401" w14:textId="77777777" w:rsidR="00C866AC" w:rsidRDefault="00C866AC" w:rsidP="00C24BE0">
      <w:pPr>
        <w:spacing w:after="0"/>
      </w:pPr>
      <w:r>
        <w:continuationSeparator/>
      </w:r>
    </w:p>
  </w:footnote>
  <w:footnote w:id="1">
    <w:p w14:paraId="1F0B14E3" w14:textId="72CBB1E4" w:rsidR="00B81C49" w:rsidRDefault="00B81C49">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97A07"/>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2BDC"/>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1C49"/>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6AC"/>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6BC11-5732-451D-8887-538AF913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6</cp:revision>
  <cp:lastPrinted>2022-09-12T07:13:00Z</cp:lastPrinted>
  <dcterms:created xsi:type="dcterms:W3CDTF">2022-09-28T12:05:00Z</dcterms:created>
  <dcterms:modified xsi:type="dcterms:W3CDTF">2024-07-31T08:14:00Z</dcterms:modified>
</cp:coreProperties>
</file>