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C3FD65A" w14:textId="77777777" w:rsidR="00014BC4" w:rsidRPr="00014BC4" w:rsidRDefault="00014BC4" w:rsidP="00014BC4">
      <w:pPr>
        <w:jc w:val="center"/>
        <w:rPr>
          <w:rFonts w:cs="B Titr"/>
          <w:b/>
          <w:bCs/>
          <w:sz w:val="36"/>
          <w:szCs w:val="36"/>
          <w:rtl/>
          <w:lang w:bidi="fa-IR"/>
        </w:rPr>
      </w:pPr>
      <w:r w:rsidRPr="00014BC4">
        <w:rPr>
          <w:rFonts w:cs="B Titr" w:hint="cs"/>
          <w:b/>
          <w:bCs/>
          <w:sz w:val="36"/>
          <w:szCs w:val="36"/>
          <w:rtl/>
          <w:lang w:bidi="fa-IR"/>
        </w:rPr>
        <w:t xml:space="preserve">داستان طالوت و تفکیک میان قدرت سیاسی و دینی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31D17551" w14:textId="77777777" w:rsidR="00014BC4" w:rsidRPr="00F07E12" w:rsidRDefault="0066385A" w:rsidP="00014BC4">
      <w:pPr>
        <w:pStyle w:val="Question"/>
        <w:rPr>
          <w:rFonts w:ascii="IRMitra" w:hAnsi="IRMitra" w:cs="IRMitra"/>
          <w:b/>
          <w:bCs w:val="0"/>
          <w:szCs w:val="28"/>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014BC4" w:rsidRPr="00B32DD1">
        <w:rPr>
          <w:rStyle w:val="Strong"/>
          <w:rFonts w:ascii="IRMitra" w:eastAsiaTheme="majorEastAsia" w:hAnsi="IRMitra" w:cs="IRMitra"/>
          <w:b w:val="0"/>
          <w:bCs/>
          <w:sz w:val="28"/>
          <w:szCs w:val="28"/>
          <w:rtl/>
        </w:rPr>
        <w:t>آ</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hint="eastAsia"/>
          <w:b w:val="0"/>
          <w:bCs/>
          <w:sz w:val="28"/>
          <w:szCs w:val="28"/>
          <w:rtl/>
        </w:rPr>
        <w:t>ا</w:t>
      </w:r>
      <w:r w:rsidR="00014BC4" w:rsidRPr="00B32DD1">
        <w:rPr>
          <w:rStyle w:val="Strong"/>
          <w:rFonts w:ascii="IRMitra" w:eastAsiaTheme="majorEastAsia" w:hAnsi="IRMitra" w:cs="IRMitra"/>
          <w:b w:val="0"/>
          <w:bCs/>
          <w:sz w:val="28"/>
          <w:szCs w:val="28"/>
          <w:rtl/>
        </w:rPr>
        <w:t xml:space="preserve"> م</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b w:val="0"/>
          <w:bCs/>
          <w:sz w:val="28"/>
          <w:szCs w:val="28"/>
          <w:rtl/>
        </w:rPr>
        <w:t xml:space="preserve"> توان بر اساس داستان طالوت و پ</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hint="eastAsia"/>
          <w:b w:val="0"/>
          <w:bCs/>
          <w:sz w:val="28"/>
          <w:szCs w:val="28"/>
          <w:rtl/>
        </w:rPr>
        <w:t>امبر</w:t>
      </w:r>
      <w:r w:rsidR="00014BC4" w:rsidRPr="00B32DD1">
        <w:rPr>
          <w:rStyle w:val="Strong"/>
          <w:rFonts w:ascii="IRMitra" w:eastAsiaTheme="majorEastAsia" w:hAnsi="IRMitra" w:cs="IRMitra"/>
          <w:b w:val="0"/>
          <w:bCs/>
          <w:sz w:val="28"/>
          <w:szCs w:val="28"/>
          <w:rtl/>
        </w:rPr>
        <w:t xml:space="preserve"> زمانش استنباط کرد که رهبر</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b w:val="0"/>
          <w:bCs/>
          <w:sz w:val="28"/>
          <w:szCs w:val="28"/>
          <w:rtl/>
        </w:rPr>
        <w:t xml:space="preserve"> د</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hint="eastAsia"/>
          <w:b w:val="0"/>
          <w:bCs/>
          <w:sz w:val="28"/>
          <w:szCs w:val="28"/>
          <w:rtl/>
        </w:rPr>
        <w:t>ن</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b w:val="0"/>
          <w:bCs/>
          <w:sz w:val="28"/>
          <w:szCs w:val="28"/>
          <w:rtl/>
        </w:rPr>
        <w:t xml:space="preserve"> هم</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hint="eastAsia"/>
          <w:b w:val="0"/>
          <w:bCs/>
          <w:sz w:val="28"/>
          <w:szCs w:val="28"/>
          <w:rtl/>
        </w:rPr>
        <w:t>شه</w:t>
      </w:r>
      <w:r w:rsidR="00014BC4" w:rsidRPr="00B32DD1">
        <w:rPr>
          <w:rStyle w:val="Strong"/>
          <w:rFonts w:ascii="IRMitra" w:eastAsiaTheme="majorEastAsia" w:hAnsi="IRMitra" w:cs="IRMitra"/>
          <w:b w:val="0"/>
          <w:bCs/>
          <w:sz w:val="28"/>
          <w:szCs w:val="28"/>
          <w:rtl/>
        </w:rPr>
        <w:t xml:space="preserve"> مستلزم رهبر</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b w:val="0"/>
          <w:bCs/>
          <w:sz w:val="28"/>
          <w:szCs w:val="28"/>
          <w:rtl/>
        </w:rPr>
        <w:t xml:space="preserve"> س</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hint="eastAsia"/>
          <w:b w:val="0"/>
          <w:bCs/>
          <w:sz w:val="28"/>
          <w:szCs w:val="28"/>
          <w:rtl/>
        </w:rPr>
        <w:t>اس</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b w:val="0"/>
          <w:bCs/>
          <w:sz w:val="28"/>
          <w:szCs w:val="28"/>
          <w:rtl/>
        </w:rPr>
        <w:t xml:space="preserve"> ن</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hint="eastAsia"/>
          <w:b w:val="0"/>
          <w:bCs/>
          <w:sz w:val="28"/>
          <w:szCs w:val="28"/>
          <w:rtl/>
        </w:rPr>
        <w:t>ست،</w:t>
      </w:r>
      <w:r w:rsidR="00014BC4" w:rsidRPr="00B32DD1">
        <w:rPr>
          <w:rStyle w:val="Strong"/>
          <w:rFonts w:ascii="IRMitra" w:eastAsiaTheme="majorEastAsia" w:hAnsi="IRMitra" w:cs="IRMitra"/>
          <w:b w:val="0"/>
          <w:bCs/>
          <w:sz w:val="28"/>
          <w:szCs w:val="28"/>
          <w:rtl/>
        </w:rPr>
        <w:t xml:space="preserve"> بلکه م</w:t>
      </w:r>
      <w:r w:rsidR="00014BC4" w:rsidRPr="00B32DD1">
        <w:rPr>
          <w:rStyle w:val="Strong"/>
          <w:rFonts w:ascii="IRMitra" w:eastAsiaTheme="majorEastAsia" w:hAnsi="IRMitra" w:cs="IRMitra" w:hint="cs"/>
          <w:b w:val="0"/>
          <w:bCs/>
          <w:sz w:val="28"/>
          <w:szCs w:val="28"/>
          <w:rtl/>
        </w:rPr>
        <w:t>ی</w:t>
      </w:r>
      <w:r w:rsidR="00014BC4" w:rsidRPr="00B32DD1">
        <w:rPr>
          <w:rStyle w:val="Strong"/>
          <w:rFonts w:ascii="IRMitra" w:eastAsiaTheme="majorEastAsia" w:hAnsi="IRMitra" w:cs="IRMitra"/>
          <w:b w:val="0"/>
          <w:bCs/>
          <w:sz w:val="28"/>
          <w:szCs w:val="28"/>
          <w:rtl/>
        </w:rPr>
        <w:t xml:space="preserve"> توان آنها را از هم جدا </w:t>
      </w:r>
      <w:r w:rsidR="00014BC4">
        <w:rPr>
          <w:rStyle w:val="Strong"/>
          <w:rFonts w:ascii="IRMitra" w:eastAsiaTheme="majorEastAsia" w:hAnsi="IRMitra" w:cs="IRMitra" w:hint="cs"/>
          <w:b w:val="0"/>
          <w:bCs/>
          <w:sz w:val="28"/>
          <w:szCs w:val="28"/>
          <w:rtl/>
        </w:rPr>
        <w:t>نمود</w:t>
      </w:r>
      <w:r w:rsidR="00014BC4" w:rsidRPr="00B32DD1">
        <w:rPr>
          <w:rStyle w:val="Strong"/>
          <w:rFonts w:ascii="IRMitra" w:eastAsiaTheme="majorEastAsia" w:hAnsi="IRMitra" w:cs="IRMitra"/>
          <w:b w:val="0"/>
          <w:bCs/>
          <w:sz w:val="28"/>
          <w:szCs w:val="28"/>
          <w:rtl/>
        </w:rPr>
        <w:t>؟</w:t>
      </w:r>
    </w:p>
    <w:p w14:paraId="4B8E7D5E" w14:textId="77777777" w:rsidR="00014BC4" w:rsidRDefault="00014BC4" w:rsidP="00014BC4">
      <w:pPr>
        <w:ind w:left="1980"/>
        <w:jc w:val="both"/>
        <w:rPr>
          <w:rtl/>
        </w:rPr>
      </w:pPr>
    </w:p>
    <w:p w14:paraId="346C49EE" w14:textId="3341F831" w:rsidR="00014BC4" w:rsidRPr="005F0AEC" w:rsidRDefault="00014BC4" w:rsidP="00014BC4">
      <w:pPr>
        <w:jc w:val="both"/>
        <w:rPr>
          <w:rtl/>
        </w:rPr>
      </w:pPr>
      <w:r w:rsidRPr="00270DFD">
        <w:rPr>
          <w:rFonts w:hint="cs"/>
          <w:b/>
          <w:bCs/>
          <w:rtl/>
        </w:rPr>
        <w:t xml:space="preserve">پاسخ: </w:t>
      </w:r>
      <w:r w:rsidRPr="005F0AEC">
        <w:rPr>
          <w:rFonts w:hint="cs"/>
          <w:rtl/>
        </w:rPr>
        <w:t>به نظر من این مسئله قویا محتمل است زیرا پیامبر زمانه آنان به آنان خبر داد که خداوند قدرت سیاسی را در اختیار طالوت قرار داده و علیرغم اینکه خداوند او را دارای قدرت علمی و بدنی معرفی می‌نماید اما او را پیامبر نمی‌داند و این به معنای امکان تفکیک بین رهبری عالی دینی و قدرت سیاسی است و آیات قرآن نیز تعیین نفرموده علم طالوت در زمینه دین بوده یا سیاست یا جنگ؟</w:t>
      </w:r>
      <w:r>
        <w:rPr>
          <w:rFonts w:hint="cs"/>
          <w:rtl/>
        </w:rPr>
        <w:t xml:space="preserve"> درنتیجه ن</w:t>
      </w:r>
      <w:r w:rsidR="0011174F">
        <w:rPr>
          <w:rFonts w:hint="cs"/>
          <w:rtl/>
        </w:rPr>
        <w:t>م</w:t>
      </w:r>
      <w:r>
        <w:rPr>
          <w:rFonts w:hint="cs"/>
          <w:rtl/>
        </w:rPr>
        <w:t>ی توان به این آیات استدلال کرد که این علم اختصاص به مجال دینی داشته است.</w:t>
      </w:r>
      <w:r w:rsidRPr="005F0AEC">
        <w:rPr>
          <w:rFonts w:hint="cs"/>
          <w:rtl/>
        </w:rPr>
        <w:t xml:space="preserve"> اما از اینکه نشانه سلطنت او آوردن تابوت دارای سکینه الهی و </w:t>
      </w:r>
      <w:r>
        <w:rPr>
          <w:rFonts w:hint="cs"/>
          <w:rtl/>
        </w:rPr>
        <w:t>مانند آن</w:t>
      </w:r>
      <w:r w:rsidRPr="005F0AEC">
        <w:rPr>
          <w:rFonts w:hint="cs"/>
          <w:rtl/>
        </w:rPr>
        <w:t xml:space="preserve"> بود بر می‌آید که </w:t>
      </w:r>
      <w:r>
        <w:rPr>
          <w:rFonts w:hint="cs"/>
          <w:rtl/>
        </w:rPr>
        <w:t xml:space="preserve">به نوعی </w:t>
      </w:r>
      <w:r w:rsidRPr="005F0AEC">
        <w:rPr>
          <w:rFonts w:hint="cs"/>
          <w:rtl/>
        </w:rPr>
        <w:t>مورد تأیید خاص خداوند بوده</w:t>
      </w:r>
      <w:r>
        <w:rPr>
          <w:rFonts w:hint="cs"/>
          <w:rtl/>
        </w:rPr>
        <w:t xml:space="preserve"> است</w:t>
      </w:r>
      <w:r w:rsidRPr="005F0AEC">
        <w:rPr>
          <w:rFonts w:hint="cs"/>
          <w:rtl/>
        </w:rPr>
        <w:t xml:space="preserve">. </w:t>
      </w:r>
      <w:r>
        <w:rPr>
          <w:rFonts w:hint="cs"/>
          <w:rtl/>
        </w:rPr>
        <w:t xml:space="preserve">افزون بر این، عقل منعی از این </w:t>
      </w:r>
      <w:r w:rsidRPr="005F0AEC">
        <w:rPr>
          <w:rFonts w:hint="cs"/>
          <w:rtl/>
        </w:rPr>
        <w:lastRenderedPageBreak/>
        <w:t xml:space="preserve">تفکیک </w:t>
      </w:r>
      <w:r>
        <w:rPr>
          <w:rFonts w:hint="cs"/>
          <w:rtl/>
        </w:rPr>
        <w:t>ندارد ز</w:t>
      </w:r>
      <w:r w:rsidRPr="005F0AEC">
        <w:rPr>
          <w:rFonts w:hint="cs"/>
          <w:rtl/>
        </w:rPr>
        <w:t xml:space="preserve">یرا تلازمی همیشگی میان رسالت و نبوّت و رهبری سیاسی وجود ندارد و </w:t>
      </w:r>
      <w:r>
        <w:rPr>
          <w:rFonts w:hint="cs"/>
          <w:rtl/>
        </w:rPr>
        <w:t xml:space="preserve">بلکه این موضوع تابع دلیل است. </w:t>
      </w:r>
    </w:p>
    <w:p w14:paraId="0722EC49" w14:textId="7AEC7AB2" w:rsidR="00F16515" w:rsidRPr="00913EF0" w:rsidRDefault="00014BC4" w:rsidP="0011174F">
      <w:pPr>
        <w:jc w:val="both"/>
        <w:rPr>
          <w:rFonts w:cs="B Titr"/>
          <w:b/>
          <w:bCs/>
          <w:rtl/>
        </w:rPr>
      </w:pPr>
      <w:r w:rsidRPr="005F0AEC">
        <w:rPr>
          <w:rFonts w:hint="cs"/>
          <w:rtl/>
        </w:rPr>
        <w:t>اما این ادله هیچکدام با ادله پیوند قدرت سیاسی و دینی رویارویی نمی‌کند؛ و کسی که به این ادله تمسک می کند و آن را تمام و صحیح می‌داند اگر</w:t>
      </w:r>
      <w:r>
        <w:rPr>
          <w:rFonts w:hint="cs"/>
          <w:rtl/>
        </w:rPr>
        <w:t xml:space="preserve"> نگوید که</w:t>
      </w:r>
      <w:r w:rsidRPr="005F0AEC">
        <w:rPr>
          <w:rFonts w:hint="cs"/>
          <w:rtl/>
        </w:rPr>
        <w:t xml:space="preserve"> ملک طالوت</w:t>
      </w:r>
      <w:r>
        <w:rPr>
          <w:rFonts w:hint="cs"/>
          <w:rtl/>
        </w:rPr>
        <w:t xml:space="preserve"> تنها</w:t>
      </w:r>
      <w:r w:rsidRPr="005F0AEC">
        <w:rPr>
          <w:rFonts w:hint="cs"/>
          <w:rtl/>
        </w:rPr>
        <w:t xml:space="preserve"> قدرت نظامی </w:t>
      </w:r>
      <w:r>
        <w:rPr>
          <w:rFonts w:hint="cs"/>
          <w:rtl/>
        </w:rPr>
        <w:t>بوده است</w:t>
      </w:r>
      <w:r w:rsidRPr="005F0AEC">
        <w:rPr>
          <w:rFonts w:hint="cs"/>
          <w:rtl/>
        </w:rPr>
        <w:t>، می‌تواند داستان طالوت را جزو احکام ادیان گذشته به شمار آورد که در اسلام دلیلی بر منسوخ شدنش داریم، کما اینکه دلیل عقل بر عدم تلازم حتمی میان دو قدرت به معنی دلیل بر حتمی بودن تفکیک بین این دو نیست و اگر بتوان برای تلازم دلیل  آورد  بدون هیچ منافاتی بر حکم عقل مقدم خواهد بود.</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067B" w14:textId="77777777" w:rsidR="004405B7" w:rsidRDefault="004405B7" w:rsidP="00C24BE0">
      <w:pPr>
        <w:spacing w:after="0"/>
      </w:pPr>
      <w:r>
        <w:separator/>
      </w:r>
    </w:p>
  </w:endnote>
  <w:endnote w:type="continuationSeparator" w:id="0">
    <w:p w14:paraId="262C8C51" w14:textId="77777777" w:rsidR="004405B7" w:rsidRDefault="004405B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65D8" w14:textId="77777777" w:rsidR="004405B7" w:rsidRDefault="004405B7" w:rsidP="00C24BE0">
      <w:pPr>
        <w:spacing w:after="0"/>
      </w:pPr>
      <w:r>
        <w:separator/>
      </w:r>
    </w:p>
  </w:footnote>
  <w:footnote w:type="continuationSeparator" w:id="0">
    <w:p w14:paraId="6CF26344" w14:textId="77777777" w:rsidR="004405B7" w:rsidRDefault="004405B7" w:rsidP="00C24BE0">
      <w:pPr>
        <w:spacing w:after="0"/>
      </w:pPr>
      <w:r>
        <w:continuationSeparator/>
      </w:r>
    </w:p>
  </w:footnote>
  <w:footnote w:id="1">
    <w:p w14:paraId="0A48D17C" w14:textId="13CB8EF5"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014BC4">
        <w:rPr>
          <w:rFonts w:hint="cs"/>
          <w:rtl/>
          <w:lang w:bidi="fa-IR"/>
        </w:rPr>
        <w:t>157</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4BC4"/>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174F"/>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5B7"/>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3D9"/>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11</cp:revision>
  <cp:lastPrinted>2022-09-12T07:13:00Z</cp:lastPrinted>
  <dcterms:created xsi:type="dcterms:W3CDTF">2022-10-13T18:52:00Z</dcterms:created>
  <dcterms:modified xsi:type="dcterms:W3CDTF">2023-12-08T09:51:00Z</dcterms:modified>
</cp:coreProperties>
</file>