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DF797A4" w14:textId="77777777" w:rsidR="0000698A" w:rsidRDefault="0000698A" w:rsidP="0000698A">
      <w:pPr>
        <w:ind w:left="360"/>
        <w:jc w:val="center"/>
        <w:rPr>
          <w:rFonts w:cs="B Titr"/>
          <w:sz w:val="36"/>
          <w:szCs w:val="36"/>
          <w:rtl/>
          <w:lang w:bidi="fa-IR"/>
        </w:rPr>
      </w:pPr>
      <w:r w:rsidRPr="0000698A">
        <w:rPr>
          <w:rFonts w:cs="B Titr" w:hint="cs"/>
          <w:sz w:val="36"/>
          <w:szCs w:val="36"/>
          <w:rtl/>
          <w:lang w:bidi="fa-IR"/>
        </w:rPr>
        <w:t>نقد حدیثی کتاب (مفاتیح الجنان)</w:t>
      </w:r>
    </w:p>
    <w:p w14:paraId="48E60899" w14:textId="459AC801" w:rsidR="005C0F38" w:rsidRPr="005C0F38" w:rsidRDefault="00746666" w:rsidP="0000698A">
      <w:pPr>
        <w:ind w:left="360"/>
        <w:jc w:val="center"/>
        <w:rPr>
          <w:rFonts w:cs="B Titr"/>
          <w:b/>
          <w:bCs/>
          <w:sz w:val="36"/>
          <w:szCs w:val="36"/>
          <w:rtl/>
          <w:lang w:bidi="fa-IR"/>
        </w:rPr>
      </w:pPr>
      <w:r w:rsidRPr="00771C2D">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66CA0041" w14:textId="77777777" w:rsidR="0000698A" w:rsidRDefault="0066385A" w:rsidP="0000698A">
      <w:pPr>
        <w:pStyle w:val="Question"/>
        <w:spacing w:line="199" w:lineRule="auto"/>
        <w:rPr>
          <w:rStyle w:val="Strong"/>
          <w:rFonts w:ascii="IRMitra" w:eastAsiaTheme="majorEastAsia" w:hAnsi="IRMitra" w:cs="IRMitra"/>
          <w:b w:val="0"/>
          <w:bCs/>
          <w:sz w:val="28"/>
          <w:szCs w:val="28"/>
          <w:rtl/>
        </w:rPr>
      </w:pPr>
      <w:r w:rsidRPr="00747FB7">
        <w:rPr>
          <w:rFonts w:hint="cs"/>
          <w:b/>
          <w:rtl/>
          <w:lang w:bidi="fa-IR"/>
        </w:rPr>
        <w:t>س</w:t>
      </w:r>
      <w:bookmarkStart w:id="0" w:name="_GoBack"/>
      <w:bookmarkEnd w:id="0"/>
      <w:r w:rsidRPr="00747FB7">
        <w:rPr>
          <w:rFonts w:hint="cs"/>
          <w:b/>
          <w:rtl/>
          <w:lang w:bidi="fa-IR"/>
        </w:rPr>
        <w:t>وال</w:t>
      </w:r>
      <w:r w:rsidR="005C0F38">
        <w:rPr>
          <w:rStyle w:val="FootnoteReference"/>
          <w:b/>
          <w:rtl/>
          <w:lang w:bidi="fa-IR"/>
        </w:rPr>
        <w:footnoteReference w:id="1"/>
      </w:r>
      <w:r w:rsidRPr="00747FB7">
        <w:rPr>
          <w:rFonts w:hint="cs"/>
          <w:b/>
          <w:rtl/>
          <w:lang w:bidi="fa-IR"/>
        </w:rPr>
        <w:t>:</w:t>
      </w:r>
      <w:r>
        <w:rPr>
          <w:rFonts w:hint="cs"/>
          <w:rtl/>
          <w:lang w:bidi="fa-IR"/>
        </w:rPr>
        <w:t xml:space="preserve"> </w:t>
      </w:r>
      <w:r w:rsidR="0000698A">
        <w:rPr>
          <w:rStyle w:val="Strong"/>
          <w:rFonts w:ascii="IRMitra" w:eastAsiaTheme="majorEastAsia" w:hAnsi="IRMitra" w:cs="IRMitra" w:hint="cs"/>
          <w:b w:val="0"/>
          <w:bCs/>
          <w:sz w:val="28"/>
          <w:szCs w:val="28"/>
          <w:rtl/>
        </w:rPr>
        <w:t>در کتاب (نظریة السنة) به این نکته اشاره کرده اید که سید محد جواد اصفهانی به مسأله وضع در ادعیه و زیارات اهتمام داشته است. این موضوع به نظرم مهم است، آیا کسی به این موضوع به زبان عربی پرداخته است؟ آیا کسی به موشکافی و نقد مفاتیح الجنان به روش مشرعة البحار شیخ آصف محسنی پرداخته است؟ نظر شما نسبت به کسی که کتاب مفاتیح الجنان را تحقیر کرده و ارزشی برای آن قائل نیست چیست؟</w:t>
      </w:r>
    </w:p>
    <w:p w14:paraId="6E789A4C" w14:textId="77777777" w:rsidR="0000698A" w:rsidRDefault="0000698A" w:rsidP="0000698A">
      <w:pPr>
        <w:pStyle w:val="Question"/>
        <w:spacing w:line="199" w:lineRule="auto"/>
        <w:rPr>
          <w:rStyle w:val="Strong"/>
          <w:rFonts w:ascii="IRMitra" w:eastAsiaTheme="majorEastAsia" w:hAnsi="IRMitra" w:cs="IRMitra"/>
          <w:sz w:val="28"/>
          <w:szCs w:val="28"/>
          <w:rtl/>
        </w:rPr>
      </w:pPr>
    </w:p>
    <w:p w14:paraId="23C449E6" w14:textId="77777777" w:rsidR="0000698A" w:rsidRPr="00F07E12" w:rsidRDefault="0000698A" w:rsidP="0000698A">
      <w:pPr>
        <w:pStyle w:val="Question"/>
        <w:spacing w:line="199" w:lineRule="auto"/>
        <w:rPr>
          <w:szCs w:val="28"/>
          <w:rtl/>
        </w:rPr>
      </w:pPr>
      <w:r w:rsidRPr="00E01F6C">
        <w:rPr>
          <w:rStyle w:val="Strong"/>
          <w:rFonts w:ascii="IRMitra" w:eastAsiaTheme="majorEastAsia" w:hAnsi="IRMitra" w:cs="IRMitra" w:hint="cs"/>
          <w:b w:val="0"/>
          <w:bCs/>
          <w:sz w:val="28"/>
          <w:szCs w:val="28"/>
          <w:rtl/>
        </w:rPr>
        <w:t xml:space="preserve">پاسخ: </w:t>
      </w:r>
      <w:r>
        <w:rPr>
          <w:rStyle w:val="Strong"/>
          <w:rFonts w:ascii="IRMitra" w:eastAsiaTheme="majorEastAsia" w:hAnsi="IRMitra" w:cs="IRMitra" w:hint="cs"/>
          <w:sz w:val="28"/>
          <w:szCs w:val="28"/>
          <w:rtl/>
        </w:rPr>
        <w:t xml:space="preserve">کسی که نسبت به مفاتیح الجنان به سبک مشرعة بحار الأنوار اثری نوشته باشد را سراغ ندارد. بله، تلاشهای متفرقه ای در این زمینه دیده می شود. در هر صورت این که در برخی از کتب ادعیه و زیارات چند کلمه که با کتاب خدا و سنت رسولش انسجام ندارد دلیلی بر تحقیر این کتب یا بی نفع نشان دادن این کتاب ها نمی شود. در دعا و زیارت ثبوت سندی شرط نیست فرض کنیم صدور آن چه که در مفاتیح الجنان آمده ثابت نباشد اما می توان با آن دعا یا زیارت خواند حتی اگر پدیدآورنده این دعاها شخصی زاهد باشد تا زمانی که در این دعا جمله ای نادرست به جهت مخالفت با کتاب و سنت یا با عقل و منطق نبینیم. در این صورت حق داریم این جمله یا این دعای به خصوص را با ارائه ادله نقد کنیم. </w:t>
      </w:r>
    </w:p>
    <w:p w14:paraId="0722EC49" w14:textId="7F9D9DCA" w:rsidR="00F16515" w:rsidRPr="00CC65BA" w:rsidRDefault="0000698A" w:rsidP="00CC65BA">
      <w:pPr>
        <w:spacing w:line="204" w:lineRule="auto"/>
        <w:jc w:val="both"/>
        <w:rPr>
          <w:rtl/>
        </w:rPr>
      </w:pPr>
      <w:r>
        <w:rPr>
          <w:rFonts w:hint="cs"/>
          <w:rtl/>
        </w:rPr>
        <w:t xml:space="preserve">آری، دیگران حق ندارند مردم را در نسبت دعایی به معصوم الزام کنند یا آن را مستند استدلال فقهی یا اعتقادی قرار دهند یا پایه و اساسی برای تربیت دینی و روحی قرار دهند قبل از این که از طریق روش های اعتبار سنجی ثابت شده در محل خود اثبات شوند. نسبت دادن بی دلیل و </w:t>
      </w:r>
      <w:r>
        <w:rPr>
          <w:rFonts w:hint="cs"/>
          <w:rtl/>
        </w:rPr>
        <w:lastRenderedPageBreak/>
        <w:t xml:space="preserve">برهان چیزی به دین تنها به خاطر ذوق عاطفی و قلبی مشمول این کلام پروردگار است: </w:t>
      </w:r>
      <w:r w:rsidRPr="00F07E12">
        <w:rPr>
          <w:rtl/>
        </w:rPr>
        <w:t>﴿</w:t>
      </w:r>
      <w:r w:rsidRPr="00F07E12">
        <w:rPr>
          <w:b/>
          <w:bCs/>
          <w:rtl/>
        </w:rPr>
        <w:t>وَلَا تَقْفُ مَا لَيْسَ لَكَ بِهِ عِلْمٌ إِنَّ السَّمْعَ وَالْبَصَرَ وَالْفُؤَادَ كُلُّ أُولَئِكَ كَانَ عَنْهُ مَسْئُولًا﴾</w:t>
      </w:r>
      <w:r>
        <w:rPr>
          <w:rStyle w:val="FootnoteReference"/>
          <w:rtl/>
        </w:rPr>
        <w:footnoteReference w:id="2"/>
      </w:r>
      <w:r w:rsidRPr="00F07E12">
        <w:rPr>
          <w:rtl/>
        </w:rPr>
        <w:t xml:space="preserve"> (الإسراء: 36).</w:t>
      </w:r>
    </w:p>
    <w:sectPr w:rsidR="00F16515" w:rsidRPr="00CC65BA" w:rsidSect="00224618">
      <w:footerReference w:type="default" r:id="rId7"/>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2E3C2" w14:textId="77777777" w:rsidR="00464590" w:rsidRDefault="00464590" w:rsidP="00C24BE0">
      <w:pPr>
        <w:spacing w:after="0"/>
      </w:pPr>
      <w:r>
        <w:separator/>
      </w:r>
    </w:p>
  </w:endnote>
  <w:endnote w:type="continuationSeparator" w:id="0">
    <w:p w14:paraId="1A21281C" w14:textId="77777777" w:rsidR="00464590" w:rsidRDefault="00464590"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86898169"/>
      <w:docPartObj>
        <w:docPartGallery w:val="Page Numbers (Bottom of Page)"/>
        <w:docPartUnique/>
      </w:docPartObj>
    </w:sdtPr>
    <w:sdtEndPr>
      <w:rPr>
        <w:noProof/>
      </w:rPr>
    </w:sdtEndPr>
    <w:sdtContent>
      <w:p w14:paraId="3C4CA34A" w14:textId="0A70B0B6" w:rsidR="00CC65BA" w:rsidRDefault="00CC65BA">
        <w:pPr>
          <w:pStyle w:val="Footer"/>
          <w:jc w:val="center"/>
        </w:pPr>
        <w:r>
          <w:fldChar w:fldCharType="begin"/>
        </w:r>
        <w:r>
          <w:instrText xml:space="preserve"> PAGE   \* MERGEFORMAT </w:instrText>
        </w:r>
        <w:r>
          <w:fldChar w:fldCharType="separate"/>
        </w:r>
        <w:r>
          <w:rPr>
            <w:noProof/>
            <w:rtl/>
          </w:rPr>
          <w:t>2</w:t>
        </w:r>
        <w:r>
          <w:rPr>
            <w:noProof/>
          </w:rPr>
          <w:fldChar w:fldCharType="end"/>
        </w:r>
      </w:p>
    </w:sdtContent>
  </w:sdt>
  <w:p w14:paraId="5263F034" w14:textId="77777777" w:rsidR="00CC65BA" w:rsidRDefault="00CC6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F6758" w14:textId="77777777" w:rsidR="00464590" w:rsidRDefault="00464590" w:rsidP="00C24BE0">
      <w:pPr>
        <w:spacing w:after="0"/>
      </w:pPr>
      <w:r>
        <w:separator/>
      </w:r>
    </w:p>
  </w:footnote>
  <w:footnote w:type="continuationSeparator" w:id="0">
    <w:p w14:paraId="5A228E2E" w14:textId="77777777" w:rsidR="00464590" w:rsidRDefault="00464590" w:rsidP="00C24BE0">
      <w:pPr>
        <w:spacing w:after="0"/>
      </w:pPr>
      <w:r>
        <w:continuationSeparator/>
      </w:r>
    </w:p>
  </w:footnote>
  <w:footnote w:id="1">
    <w:p w14:paraId="0A48D17C" w14:textId="67C44891"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158 ـ 159. سوال </w:t>
      </w:r>
      <w:r w:rsidR="00BA7A5F">
        <w:rPr>
          <w:rFonts w:hint="cs"/>
          <w:rtl/>
          <w:lang w:bidi="fa-IR"/>
        </w:rPr>
        <w:t>101</w:t>
      </w:r>
      <w:r>
        <w:rPr>
          <w:rFonts w:hint="cs"/>
          <w:rtl/>
          <w:lang w:bidi="fa-IR"/>
        </w:rPr>
        <w:t>.</w:t>
      </w:r>
    </w:p>
  </w:footnote>
  <w:footnote w:id="2">
    <w:p w14:paraId="5A17986C" w14:textId="77777777" w:rsidR="0000698A" w:rsidRPr="00E01F6C" w:rsidRDefault="0000698A" w:rsidP="0000698A">
      <w:pPr>
        <w:pStyle w:val="NormalWeb"/>
        <w:shd w:val="clear" w:color="auto" w:fill="FFFFFF"/>
        <w:bidi/>
        <w:spacing w:before="120" w:beforeAutospacing="0" w:after="120" w:afterAutospacing="0"/>
        <w:rPr>
          <w:color w:val="222222"/>
          <w:sz w:val="20"/>
          <w:rtl/>
          <w:lang w:bidi="fa-IR"/>
        </w:rPr>
      </w:pPr>
      <w:r w:rsidRPr="00E01F6C">
        <w:rPr>
          <w:rStyle w:val="FootnoteReference"/>
          <w:rFonts w:ascii="IRMitra" w:hAnsi="IRMitra" w:cs="IRMitra"/>
          <w:sz w:val="20"/>
          <w:szCs w:val="20"/>
        </w:rPr>
        <w:footnoteRef/>
      </w:r>
      <w:r w:rsidRPr="00E01F6C">
        <w:rPr>
          <w:rFonts w:ascii="IRMitra" w:hAnsi="IRMitra" w:cs="IRMitra"/>
          <w:sz w:val="20"/>
          <w:szCs w:val="20"/>
          <w:rtl/>
        </w:rPr>
        <w:t xml:space="preserve"> </w:t>
      </w:r>
      <w:r w:rsidRPr="00E01F6C">
        <w:rPr>
          <w:rFonts w:ascii="IRMitra" w:hAnsi="IRMitra" w:cs="IRMitra"/>
          <w:sz w:val="20"/>
          <w:szCs w:val="20"/>
          <w:rtl/>
          <w:lang w:bidi="fa-IR"/>
        </w:rPr>
        <w:t>.</w:t>
      </w:r>
      <w:r w:rsidRPr="00E01F6C">
        <w:rPr>
          <w:rFonts w:ascii="IRMitra" w:hAnsi="IRMitra" w:cs="IRMitra"/>
          <w:color w:val="222222"/>
          <w:sz w:val="20"/>
          <w:szCs w:val="20"/>
          <w:rtl/>
        </w:rPr>
        <w:t xml:space="preserve"> </w:t>
      </w:r>
      <w:r w:rsidRPr="00E01F6C">
        <w:rPr>
          <w:rFonts w:ascii="IRMitra" w:hAnsi="IRMitra" w:cs="IRMitra"/>
          <w:color w:val="222222"/>
          <w:sz w:val="20"/>
          <w:szCs w:val="20"/>
          <w:rtl/>
          <w:lang w:bidi="fa-IR"/>
        </w:rPr>
        <w:t>از آنچه به آن آگاه</w:t>
      </w:r>
      <w:r w:rsidRPr="00E01F6C">
        <w:rPr>
          <w:rFonts w:ascii="IRMitra" w:hAnsi="IRMitra" w:cs="IRMitra" w:hint="cs"/>
          <w:color w:val="222222"/>
          <w:sz w:val="20"/>
          <w:szCs w:val="20"/>
          <w:rtl/>
          <w:lang w:bidi="fa-IR"/>
        </w:rPr>
        <w:t>ی</w:t>
      </w:r>
      <w:r w:rsidRPr="00E01F6C">
        <w:rPr>
          <w:rFonts w:ascii="IRMitra" w:hAnsi="IRMitra" w:cs="IRMitra"/>
          <w:color w:val="222222"/>
          <w:sz w:val="20"/>
          <w:szCs w:val="20"/>
          <w:rtl/>
          <w:lang w:bidi="fa-IR"/>
        </w:rPr>
        <w:t xml:space="preserve"> ندار</w:t>
      </w:r>
      <w:r w:rsidRPr="00E01F6C">
        <w:rPr>
          <w:rFonts w:ascii="IRMitra" w:hAnsi="IRMitra" w:cs="IRMitra" w:hint="cs"/>
          <w:color w:val="222222"/>
          <w:sz w:val="20"/>
          <w:szCs w:val="20"/>
          <w:rtl/>
          <w:lang w:bidi="fa-IR"/>
        </w:rPr>
        <w:t>ی</w:t>
      </w:r>
      <w:r w:rsidRPr="00E01F6C">
        <w:rPr>
          <w:rFonts w:ascii="IRMitra" w:hAnsi="IRMitra" w:cs="IRMitra" w:hint="eastAsia"/>
          <w:color w:val="222222"/>
          <w:sz w:val="20"/>
          <w:szCs w:val="20"/>
          <w:rtl/>
          <w:lang w:bidi="fa-IR"/>
        </w:rPr>
        <w:t>،</w:t>
      </w:r>
      <w:r w:rsidRPr="00E01F6C">
        <w:rPr>
          <w:rFonts w:ascii="IRMitra" w:hAnsi="IRMitra" w:cs="IRMitra"/>
          <w:color w:val="222222"/>
          <w:sz w:val="20"/>
          <w:szCs w:val="20"/>
          <w:rtl/>
          <w:lang w:bidi="fa-IR"/>
        </w:rPr>
        <w:t xml:space="preserve"> </w:t>
      </w:r>
      <w:r w:rsidRPr="00E01F6C">
        <w:rPr>
          <w:rFonts w:ascii="IRMitra" w:hAnsi="IRMitra" w:cs="IRMitra" w:hint="eastAsia"/>
          <w:color w:val="222222"/>
          <w:sz w:val="20"/>
          <w:szCs w:val="20"/>
          <w:rtl/>
          <w:lang w:bidi="fa-IR"/>
        </w:rPr>
        <w:t>پ</w:t>
      </w:r>
      <w:r w:rsidRPr="00E01F6C">
        <w:rPr>
          <w:rFonts w:ascii="IRMitra" w:hAnsi="IRMitra" w:cs="IRMitra" w:hint="cs"/>
          <w:color w:val="222222"/>
          <w:sz w:val="20"/>
          <w:szCs w:val="20"/>
          <w:rtl/>
          <w:lang w:bidi="fa-IR"/>
        </w:rPr>
        <w:t>ی</w:t>
      </w:r>
      <w:r w:rsidRPr="00E01F6C">
        <w:rPr>
          <w:rFonts w:ascii="IRMitra" w:hAnsi="IRMitra" w:cs="IRMitra" w:hint="eastAsia"/>
          <w:color w:val="222222"/>
          <w:sz w:val="20"/>
          <w:szCs w:val="20"/>
          <w:rtl/>
          <w:lang w:bidi="fa-IR"/>
        </w:rPr>
        <w:t>رو</w:t>
      </w:r>
      <w:r w:rsidRPr="00E01F6C">
        <w:rPr>
          <w:rFonts w:ascii="IRMitra" w:hAnsi="IRMitra" w:cs="IRMitra" w:hint="cs"/>
          <w:color w:val="222222"/>
          <w:sz w:val="20"/>
          <w:szCs w:val="20"/>
          <w:rtl/>
          <w:lang w:bidi="fa-IR"/>
        </w:rPr>
        <w:t>ی</w:t>
      </w:r>
      <w:r w:rsidRPr="00E01F6C">
        <w:rPr>
          <w:rFonts w:ascii="IRMitra" w:hAnsi="IRMitra" w:cs="IRMitra"/>
          <w:color w:val="222222"/>
          <w:sz w:val="20"/>
          <w:szCs w:val="20"/>
          <w:rtl/>
          <w:lang w:bidi="fa-IR"/>
        </w:rPr>
        <w:t xml:space="preserve"> </w:t>
      </w:r>
      <w:r w:rsidRPr="00E01F6C">
        <w:rPr>
          <w:rFonts w:ascii="IRMitra" w:hAnsi="IRMitra" w:cs="IRMitra" w:hint="eastAsia"/>
          <w:color w:val="222222"/>
          <w:sz w:val="20"/>
          <w:szCs w:val="20"/>
          <w:rtl/>
          <w:lang w:bidi="fa-IR"/>
        </w:rPr>
        <w:t>مکن،</w:t>
      </w:r>
      <w:r w:rsidRPr="00E01F6C">
        <w:rPr>
          <w:rFonts w:ascii="IRMitra" w:hAnsi="IRMitra" w:cs="IRMitra"/>
          <w:color w:val="222222"/>
          <w:sz w:val="20"/>
          <w:szCs w:val="20"/>
          <w:rtl/>
          <w:lang w:bidi="fa-IR"/>
        </w:rPr>
        <w:t xml:space="preserve"> </w:t>
      </w:r>
      <w:r w:rsidRPr="00E01F6C">
        <w:rPr>
          <w:rFonts w:ascii="IRMitra" w:hAnsi="IRMitra" w:cs="IRMitra" w:hint="eastAsia"/>
          <w:color w:val="222222"/>
          <w:sz w:val="20"/>
          <w:szCs w:val="20"/>
          <w:rtl/>
          <w:lang w:bidi="fa-IR"/>
        </w:rPr>
        <w:t>چرا</w:t>
      </w:r>
      <w:r w:rsidRPr="00E01F6C">
        <w:rPr>
          <w:rFonts w:ascii="IRMitra" w:hAnsi="IRMitra" w:cs="IRMitra"/>
          <w:color w:val="222222"/>
          <w:sz w:val="20"/>
          <w:szCs w:val="20"/>
          <w:rtl/>
          <w:lang w:bidi="fa-IR"/>
        </w:rPr>
        <w:t xml:space="preserve"> </w:t>
      </w:r>
      <w:r w:rsidRPr="00E01F6C">
        <w:rPr>
          <w:rFonts w:ascii="IRMitra" w:hAnsi="IRMitra" w:cs="IRMitra" w:hint="eastAsia"/>
          <w:color w:val="222222"/>
          <w:sz w:val="20"/>
          <w:szCs w:val="20"/>
          <w:rtl/>
          <w:lang w:bidi="fa-IR"/>
        </w:rPr>
        <w:t>که</w:t>
      </w:r>
      <w:r w:rsidRPr="00E01F6C">
        <w:rPr>
          <w:rFonts w:ascii="IRMitra" w:hAnsi="IRMitra" w:cs="IRMitra"/>
          <w:color w:val="222222"/>
          <w:sz w:val="20"/>
          <w:szCs w:val="20"/>
          <w:rtl/>
          <w:lang w:bidi="fa-IR"/>
        </w:rPr>
        <w:t xml:space="preserve"> </w:t>
      </w:r>
      <w:r w:rsidRPr="00E01F6C">
        <w:rPr>
          <w:rFonts w:ascii="IRMitra" w:hAnsi="IRMitra" w:cs="IRMitra" w:hint="eastAsia"/>
          <w:color w:val="222222"/>
          <w:sz w:val="20"/>
          <w:szCs w:val="20"/>
          <w:rtl/>
          <w:lang w:bidi="fa-IR"/>
        </w:rPr>
        <w:t>گوش</w:t>
      </w:r>
      <w:r w:rsidRPr="00E01F6C">
        <w:rPr>
          <w:rFonts w:ascii="IRMitra" w:hAnsi="IRMitra" w:cs="IRMitra"/>
          <w:color w:val="222222"/>
          <w:sz w:val="20"/>
          <w:szCs w:val="20"/>
          <w:rtl/>
          <w:lang w:bidi="fa-IR"/>
        </w:rPr>
        <w:t xml:space="preserve"> </w:t>
      </w:r>
      <w:r w:rsidRPr="00E01F6C">
        <w:rPr>
          <w:rFonts w:ascii="IRMitra" w:hAnsi="IRMitra" w:cs="IRMitra" w:hint="eastAsia"/>
          <w:color w:val="222222"/>
          <w:sz w:val="20"/>
          <w:szCs w:val="20"/>
          <w:rtl/>
          <w:lang w:bidi="fa-IR"/>
        </w:rPr>
        <w:t>و</w:t>
      </w:r>
      <w:r w:rsidRPr="00E01F6C">
        <w:rPr>
          <w:rFonts w:ascii="IRMitra" w:hAnsi="IRMitra" w:cs="IRMitra"/>
          <w:color w:val="222222"/>
          <w:sz w:val="20"/>
          <w:szCs w:val="20"/>
          <w:rtl/>
          <w:lang w:bidi="fa-IR"/>
        </w:rPr>
        <w:t xml:space="preserve"> </w:t>
      </w:r>
      <w:r w:rsidRPr="00E01F6C">
        <w:rPr>
          <w:rFonts w:ascii="IRMitra" w:hAnsi="IRMitra" w:cs="IRMitra" w:hint="eastAsia"/>
          <w:color w:val="222222"/>
          <w:sz w:val="20"/>
          <w:szCs w:val="20"/>
          <w:rtl/>
          <w:lang w:bidi="fa-IR"/>
        </w:rPr>
        <w:t>چشم</w:t>
      </w:r>
      <w:r w:rsidRPr="00E01F6C">
        <w:rPr>
          <w:rFonts w:ascii="IRMitra" w:hAnsi="IRMitra" w:cs="IRMitra"/>
          <w:color w:val="222222"/>
          <w:sz w:val="20"/>
          <w:szCs w:val="20"/>
          <w:rtl/>
          <w:lang w:bidi="fa-IR"/>
        </w:rPr>
        <w:t xml:space="preserve"> </w:t>
      </w:r>
      <w:r w:rsidRPr="00E01F6C">
        <w:rPr>
          <w:rFonts w:ascii="IRMitra" w:hAnsi="IRMitra" w:cs="IRMitra" w:hint="eastAsia"/>
          <w:color w:val="222222"/>
          <w:sz w:val="20"/>
          <w:szCs w:val="20"/>
          <w:rtl/>
          <w:lang w:bidi="fa-IR"/>
        </w:rPr>
        <w:t>و</w:t>
      </w:r>
      <w:r w:rsidRPr="00E01F6C">
        <w:rPr>
          <w:rFonts w:ascii="IRMitra" w:hAnsi="IRMitra" w:cs="IRMitra"/>
          <w:color w:val="222222"/>
          <w:sz w:val="20"/>
          <w:szCs w:val="20"/>
          <w:rtl/>
          <w:lang w:bidi="fa-IR"/>
        </w:rPr>
        <w:t xml:space="preserve"> </w:t>
      </w:r>
      <w:r w:rsidRPr="00E01F6C">
        <w:rPr>
          <w:rFonts w:ascii="IRMitra" w:hAnsi="IRMitra" w:cs="IRMitra" w:hint="eastAsia"/>
          <w:color w:val="222222"/>
          <w:sz w:val="20"/>
          <w:szCs w:val="20"/>
          <w:rtl/>
          <w:lang w:bidi="fa-IR"/>
        </w:rPr>
        <w:t>دل،</w:t>
      </w:r>
      <w:r w:rsidRPr="00E01F6C">
        <w:rPr>
          <w:rFonts w:ascii="IRMitra" w:hAnsi="IRMitra" w:cs="IRMitra"/>
          <w:color w:val="222222"/>
          <w:sz w:val="20"/>
          <w:szCs w:val="20"/>
          <w:rtl/>
          <w:lang w:bidi="fa-IR"/>
        </w:rPr>
        <w:t xml:space="preserve"> </w:t>
      </w:r>
      <w:r w:rsidRPr="00E01F6C">
        <w:rPr>
          <w:rFonts w:ascii="IRMitra" w:hAnsi="IRMitra" w:cs="IRMitra" w:hint="eastAsia"/>
          <w:color w:val="222222"/>
          <w:sz w:val="20"/>
          <w:szCs w:val="20"/>
          <w:rtl/>
          <w:lang w:bidi="fa-IR"/>
        </w:rPr>
        <w:t>همه</w:t>
      </w:r>
      <w:r w:rsidRPr="00E01F6C">
        <w:rPr>
          <w:rFonts w:ascii="IRMitra" w:hAnsi="IRMitra" w:cs="IRMitra"/>
          <w:color w:val="222222"/>
          <w:sz w:val="20"/>
          <w:szCs w:val="20"/>
          <w:rtl/>
          <w:lang w:bidi="fa-IR"/>
        </w:rPr>
        <w:t xml:space="preserve"> </w:t>
      </w:r>
      <w:r w:rsidRPr="00E01F6C">
        <w:rPr>
          <w:rFonts w:ascii="IRMitra" w:hAnsi="IRMitra" w:cs="IRMitra" w:hint="eastAsia"/>
          <w:color w:val="222222"/>
          <w:sz w:val="20"/>
          <w:szCs w:val="20"/>
          <w:rtl/>
          <w:lang w:bidi="fa-IR"/>
        </w:rPr>
        <w:t>مسؤولند</w:t>
      </w:r>
      <w:r w:rsidRPr="00E01F6C">
        <w:rPr>
          <w:rFonts w:ascii="IRMitra" w:hAnsi="IRMitra" w:cs="IRMitra"/>
          <w:color w:val="222222"/>
          <w:sz w:val="20"/>
          <w:szCs w:val="20"/>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698A"/>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493"/>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5C62"/>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7DC"/>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4590"/>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666"/>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1C2D"/>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4F85"/>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A5F"/>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5BA"/>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2EA24-200B-445A-97D2-0E995326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OliveSoft</cp:lastModifiedBy>
  <cp:revision>4</cp:revision>
  <cp:lastPrinted>2022-09-12T07:13:00Z</cp:lastPrinted>
  <dcterms:created xsi:type="dcterms:W3CDTF">2022-10-15T07:27:00Z</dcterms:created>
  <dcterms:modified xsi:type="dcterms:W3CDTF">2023-05-31T08:12:00Z</dcterms:modified>
</cp:coreProperties>
</file>